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Car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Car fringe benefits</w:t>
      </w:r>
    </w:p>
    <w:p/>
    <w:p>
      <w:pPr/>
      <w:r>
        <w:rPr/>
        <w:t xml:space="preserve">If there is a car that is held by an employer and is being provided to an employee for their private use – a car fringe benefit is being provided.</w:t>
      </w:r>
    </w:p>
    <w:p>
      <w:pPr/>
      <w:r>
        <w:rPr/>
        <w:t xml:space="preserve">A ‘car’ for fringe benefits tax purposes is defined as: a vehicle designed to have a goods carrying capacity of less than 1 tonne or a passenger capacity of fewer than nine people.</w:t>
      </w:r>
    </w:p>
    <w:p>
      <w:pPr/>
      <w:r>
        <w:rPr/>
        <w:t xml:space="preserve">There are two methods to calculate your fringe benefits tax obligation: operating cost method or statutory formula method.</w:t>
      </w:r>
    </w:p>
    <w:p>
      <w:pPr/>
      <w:r>
        <w:rPr/>
        <w:t xml:space="preserve">These methods have differing record keeping requirements.</w:t>
      </w:r>
    </w:p>
    <w:p>
      <w:pPr/>
      <w:r>
        <w:rPr/>
        <w:t xml:space="preserve">Generally speaking, depending on your business circumstances, the operating costs method will result in a lower car FBT obligation.</w:t>
      </w:r>
    </w:p>
    <w:p>
      <w:pPr/>
      <w:r>
        <w:rPr/>
        <w:t xml:space="preserve">The ATO FBT car calculator tool will help you calculate the value of the fringe benefit.</w:t>
      </w:r>
    </w:p>
    <w:p/>
    <w:p>
      <w:pPr>
        <w:pStyle w:val="Heading2"/>
      </w:pPr>
      <w:r>
        <w:rPr/>
        <w:t xml:space="preserve">Fringe benefits tax obligations</w:t>
      </w:r>
    </w:p>
    <w:p/>
    <w:p>
      <w:pPr/>
      <w:r>
        <w:rPr/>
        <w:t xml:space="preserve">If you provide an expense payment fringe benefit you will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FB93D90"/>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2026-05-20T03:33:08+10:00</dcterms:created>
  <dcterms:modified xsi:type="dcterms:W3CDTF">2026-05-20T03:33:08+10:00</dcterms:modified>
</cp:coreProperties>
</file>

<file path=docProps/custom.xml><?xml version="1.0" encoding="utf-8"?>
<Properties xmlns="http://schemas.openxmlformats.org/officeDocument/2006/custom-properties" xmlns:vt="http://schemas.openxmlformats.org/officeDocument/2006/docPropsVTypes"/>
</file>