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Expense payments fringe benefits tax</w:t>
      </w:r>
      <w:bookmarkEnd w:id="0"/>
    </w:p>
    <w:p>
      <w:pPr>
        <w:pStyle w:val="Heading1"/>
      </w:pPr>
      <w:bookmarkStart w:id="1" w:name="_Toc1"/>
      <w:r>
        <w:t>Fast facts</w:t>
      </w:r>
      <w:bookmarkEnd w:id="1"/>
    </w:p>
    <w:p/>
    <w:p>
      <w:pPr>
        <w:pStyle w:val="Heading2"/>
      </w:pPr>
      <w:r>
        <w:rPr/>
        <w:t xml:space="preserve">Fringe benefits</w:t>
      </w:r>
    </w:p>
    <w:p/>
    <w:p>
      <w:pPr/>
      <w:r>
        <w:rPr/>
        <w:t xml:space="preserve">A fringe benefit is a ‘payment’ made to an employee or their associate, but in a different form to salary or wages. It is provided 'in respect of employment'. An associate of an employee includes their partner, spouse, child or other relative. Benefits provided to volunteers and contractors are not considered fringe benefits.</w:t>
      </w:r>
    </w:p>
    <w:p/>
    <w:p>
      <w:pPr>
        <w:pStyle w:val="Heading2"/>
      </w:pPr>
      <w:r>
        <w:rPr/>
        <w:t xml:space="preserve">Expense payment fringe benefits</w:t>
      </w:r>
    </w:p>
    <w:p/>
    <w:p>
      <w:pPr/>
      <w:r>
        <w:rPr/>
        <w:t xml:space="preserve">Expense payment fringe benefits may arise when an employee incurs expenses and the employer either: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reimburses them for the expense, or </w:t>
            </w:r>
          </w:p>
        </w:tc>
      </w:tr>
      <w:tr>
        <w:trPr/>
        <w:tc>
          <w:tcPr>
            <w:tcW w:w="300" w:type="dxa"/>
            <w:tcMar>
              <w:end w:w="180" w:type="dxa"/>
            </w:tcMar>
            <w:vAlign w:val="top"/>
            <w:noWrap/>
          </w:tcPr>
          <w:p>
            <w:pPr/>
            <w:r>
              <w:rPr/>
              <w:t xml:space="preserve">▪</w:t>
            </w:r>
          </w:p>
        </w:tc>
        <w:tc>
          <w:tcPr>
            <w:noWrap/>
          </w:tcPr>
          <w:p>
            <w:pPr/>
            <w:r>
              <w:rPr/>
              <w:t xml:space="preserve">directly pays a third-party for the expense.</w:t>
            </w:r>
          </w:p>
        </w:tc>
      </w:tr>
    </w:tbl>
    <w:p>
      <w:pPr/>
      <w:r>
        <w:rPr/>
        <w:t xml:space="preserve">The expense needs to be incurred by the employee and can be a business or private expense, or a combination of both. Expense payment fringe benefits may also arise when expense payment benefits are provided to an associate of the employee. </w:t>
      </w:r>
    </w:p>
    <w:p/>
    <w:p>
      <w:pPr>
        <w:pStyle w:val="Heading2"/>
      </w:pPr>
      <w:r>
        <w:rPr/>
        <w:t xml:space="preserve">Example expense payment fringe benefits</w:t>
      </w:r>
    </w:p>
    <w:p/>
    <w:p>
      <w:pPr/>
      <w:r>
        <w:rPr/>
        <w:t xml:space="preserve">Expense payment fringe benefits may include the payment or reimbursement of: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car expenses (e.g. registration and insurance) </w:t>
            </w:r>
          </w:p>
        </w:tc>
      </w:tr>
      <w:tr>
        <w:trPr/>
        <w:tc>
          <w:tcPr>
            <w:tcW w:w="300" w:type="dxa"/>
            <w:tcMar>
              <w:end w:w="180" w:type="dxa"/>
            </w:tcMar>
            <w:vAlign w:val="top"/>
            <w:noWrap/>
          </w:tcPr>
          <w:p>
            <w:pPr/>
            <w:r>
              <w:rPr/>
              <w:t xml:space="preserve">▪</w:t>
            </w:r>
          </w:p>
        </w:tc>
        <w:tc>
          <w:tcPr>
            <w:noWrap/>
          </w:tcPr>
          <w:p>
            <w:pPr/>
            <w:r>
              <w:rPr/>
              <w:t xml:space="preserve">car parking (if you do not provide the car parking facilities) </w:t>
            </w:r>
          </w:p>
        </w:tc>
      </w:tr>
      <w:tr>
        <w:trPr/>
        <w:tc>
          <w:tcPr>
            <w:tcW w:w="300" w:type="dxa"/>
            <w:tcMar>
              <w:end w:w="180" w:type="dxa"/>
            </w:tcMar>
            <w:vAlign w:val="top"/>
            <w:noWrap/>
          </w:tcPr>
          <w:p>
            <w:pPr/>
            <w:r>
              <w:rPr/>
              <w:t xml:space="preserve">▪</w:t>
            </w:r>
          </w:p>
        </w:tc>
        <w:tc>
          <w:tcPr>
            <w:noWrap/>
          </w:tcPr>
          <w:p>
            <w:pPr/>
            <w:r>
              <w:rPr/>
              <w:t xml:space="preserve">home mortgage </w:t>
            </w:r>
          </w:p>
        </w:tc>
      </w:tr>
      <w:tr>
        <w:trPr/>
        <w:tc>
          <w:tcPr>
            <w:tcW w:w="300" w:type="dxa"/>
            <w:tcMar>
              <w:end w:w="180" w:type="dxa"/>
            </w:tcMar>
            <w:vAlign w:val="top"/>
            <w:noWrap/>
          </w:tcPr>
          <w:p>
            <w:pPr/>
            <w:r>
              <w:rPr/>
              <w:t xml:space="preserve">▪</w:t>
            </w:r>
          </w:p>
        </w:tc>
        <w:tc>
          <w:tcPr>
            <w:noWrap/>
          </w:tcPr>
          <w:p>
            <w:pPr/>
            <w:r>
              <w:rPr/>
              <w:t xml:space="preserve">home/desktop computer, home telephone and internet </w:t>
            </w:r>
          </w:p>
        </w:tc>
      </w:tr>
      <w:tr>
        <w:trPr/>
        <w:tc>
          <w:tcPr>
            <w:tcW w:w="300" w:type="dxa"/>
            <w:tcMar>
              <w:end w:w="180" w:type="dxa"/>
            </w:tcMar>
            <w:vAlign w:val="top"/>
            <w:noWrap/>
          </w:tcPr>
          <w:p>
            <w:pPr/>
            <w:r>
              <w:rPr/>
              <w:t xml:space="preserve">▪</w:t>
            </w:r>
          </w:p>
        </w:tc>
        <w:tc>
          <w:tcPr>
            <w:noWrap/>
          </w:tcPr>
          <w:p>
            <w:pPr/>
            <w:r>
              <w:rPr/>
              <w:t xml:space="preserve">employee personal credit card payments </w:t>
            </w:r>
          </w:p>
        </w:tc>
      </w:tr>
      <w:tr>
        <w:trPr/>
        <w:tc>
          <w:tcPr>
            <w:tcW w:w="300" w:type="dxa"/>
            <w:tcMar>
              <w:end w:w="180" w:type="dxa"/>
            </w:tcMar>
            <w:vAlign w:val="top"/>
            <w:noWrap/>
          </w:tcPr>
          <w:p>
            <w:pPr/>
            <w:r>
              <w:rPr/>
              <w:t xml:space="preserve">▪</w:t>
            </w:r>
          </w:p>
        </w:tc>
        <w:tc>
          <w:tcPr>
            <w:noWrap/>
          </w:tcPr>
          <w:p>
            <w:pPr/>
            <w:r>
              <w:rPr/>
              <w:t xml:space="preserve">health insurance premiums </w:t>
            </w:r>
          </w:p>
        </w:tc>
      </w:tr>
      <w:tr>
        <w:trPr/>
        <w:tc>
          <w:tcPr>
            <w:tcW w:w="300" w:type="dxa"/>
            <w:tcMar>
              <w:end w:w="180" w:type="dxa"/>
            </w:tcMar>
            <w:vAlign w:val="top"/>
            <w:noWrap/>
          </w:tcPr>
          <w:p>
            <w:pPr/>
            <w:r>
              <w:rPr/>
              <w:t xml:space="preserve">▪</w:t>
            </w:r>
          </w:p>
        </w:tc>
        <w:tc>
          <w:tcPr>
            <w:noWrap/>
          </w:tcPr>
          <w:p>
            <w:pPr/>
            <w:r>
              <w:rPr/>
              <w:t xml:space="preserve">self-education expenses.</w:t>
            </w:r>
          </w:p>
        </w:tc>
      </w:tr>
    </w:tbl>
    <w:p/>
    <w:p>
      <w:pPr>
        <w:pStyle w:val="Heading2"/>
      </w:pPr>
      <w:r>
        <w:rPr/>
        <w:t xml:space="preserve">What are not fringe benefits</w:t>
      </w:r>
    </w:p>
    <w:p/>
    <w:p>
      <w:pPr/>
      <w:r>
        <w:rPr/>
        <w:t xml:space="preserve">The following are not fringe benefits: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salaries and wages </w:t>
            </w:r>
          </w:p>
        </w:tc>
      </w:tr>
      <w:tr>
        <w:trPr/>
        <w:tc>
          <w:tcPr>
            <w:tcW w:w="300" w:type="dxa"/>
            <w:tcMar>
              <w:end w:w="180" w:type="dxa"/>
            </w:tcMar>
            <w:vAlign w:val="top"/>
            <w:noWrap/>
          </w:tcPr>
          <w:p>
            <w:pPr/>
            <w:r>
              <w:rPr/>
              <w:t xml:space="preserve">▪</w:t>
            </w:r>
          </w:p>
        </w:tc>
        <w:tc>
          <w:tcPr>
            <w:noWrap/>
          </w:tcPr>
          <w:p>
            <w:pPr/>
            <w:r>
              <w:rPr/>
              <w:t xml:space="preserve">employer contributions to superannuation funds </w:t>
            </w:r>
          </w:p>
        </w:tc>
      </w:tr>
      <w:tr>
        <w:trPr/>
        <w:tc>
          <w:tcPr>
            <w:tcW w:w="300" w:type="dxa"/>
            <w:tcMar>
              <w:end w:w="180" w:type="dxa"/>
            </w:tcMar>
            <w:vAlign w:val="top"/>
            <w:noWrap/>
          </w:tcPr>
          <w:p>
            <w:pPr/>
            <w:r>
              <w:rPr/>
              <w:t xml:space="preserve">▪</w:t>
            </w:r>
          </w:p>
        </w:tc>
        <w:tc>
          <w:tcPr>
            <w:noWrap/>
          </w:tcPr>
          <w:p>
            <w:pPr/>
            <w:r>
              <w:rPr/>
              <w:t xml:space="preserve">employer termination payments </w:t>
            </w:r>
          </w:p>
        </w:tc>
      </w:tr>
      <w:tr>
        <w:trPr/>
        <w:tc>
          <w:tcPr>
            <w:tcW w:w="300" w:type="dxa"/>
            <w:tcMar>
              <w:end w:w="180" w:type="dxa"/>
            </w:tcMar>
            <w:vAlign w:val="top"/>
            <w:noWrap/>
          </w:tcPr>
          <w:p>
            <w:pPr/>
            <w:r>
              <w:rPr/>
              <w:t xml:space="preserve">▪</w:t>
            </w:r>
          </w:p>
        </w:tc>
        <w:tc>
          <w:tcPr>
            <w:noWrap/>
          </w:tcPr>
          <w:p>
            <w:pPr/>
            <w:r>
              <w:rPr/>
              <w:t xml:space="preserve">shares purchased under approved employee share acquisition schemes </w:t>
            </w:r>
          </w:p>
        </w:tc>
      </w:tr>
      <w:tr>
        <w:trPr/>
        <w:tc>
          <w:tcPr>
            <w:tcW w:w="300" w:type="dxa"/>
            <w:tcMar>
              <w:end w:w="180" w:type="dxa"/>
            </w:tcMar>
            <w:vAlign w:val="top"/>
            <w:noWrap/>
          </w:tcPr>
          <w:p>
            <w:pPr/>
            <w:r>
              <w:rPr/>
              <w:t xml:space="preserve">▪</w:t>
            </w:r>
          </w:p>
        </w:tc>
        <w:tc>
          <w:tcPr>
            <w:noWrap/>
          </w:tcPr>
          <w:p>
            <w:pPr/>
            <w:r>
              <w:rPr/>
              <w:t xml:space="preserve">payments of dividend amounts </w:t>
            </w:r>
          </w:p>
        </w:tc>
      </w:tr>
      <w:tr>
        <w:trPr/>
        <w:tc>
          <w:tcPr>
            <w:tcW w:w="300" w:type="dxa"/>
            <w:tcMar>
              <w:end w:w="180" w:type="dxa"/>
            </w:tcMar>
            <w:vAlign w:val="top"/>
            <w:noWrap/>
          </w:tcPr>
          <w:p>
            <w:pPr/>
            <w:r>
              <w:rPr/>
              <w:t xml:space="preserve">▪</w:t>
            </w:r>
          </w:p>
        </w:tc>
        <w:tc>
          <w:tcPr>
            <w:noWrap/>
          </w:tcPr>
          <w:p>
            <w:pPr/>
            <w:r>
              <w:rPr/>
              <w:t xml:space="preserve">benefits provided to volunteers and contractors </w:t>
            </w:r>
          </w:p>
        </w:tc>
      </w:tr>
      <w:tr>
        <w:trPr/>
        <w:tc>
          <w:tcPr>
            <w:tcW w:w="300" w:type="dxa"/>
            <w:tcMar>
              <w:end w:w="180" w:type="dxa"/>
            </w:tcMar>
            <w:vAlign w:val="top"/>
            <w:noWrap/>
          </w:tcPr>
          <w:p>
            <w:pPr/>
            <w:r>
              <w:rPr/>
              <w:t xml:space="preserve">▪</w:t>
            </w:r>
          </w:p>
        </w:tc>
        <w:tc>
          <w:tcPr>
            <w:noWrap/>
          </w:tcPr>
          <w:p>
            <w:pPr/>
            <w:r>
              <w:rPr/>
              <w:t xml:space="preserve">cash bonuses </w:t>
            </w:r>
          </w:p>
        </w:tc>
      </w:tr>
      <w:tr>
        <w:trPr/>
        <w:tc>
          <w:tcPr>
            <w:tcW w:w="300" w:type="dxa"/>
            <w:tcMar>
              <w:end w:w="180" w:type="dxa"/>
            </w:tcMar>
            <w:vAlign w:val="top"/>
            <w:noWrap/>
          </w:tcPr>
          <w:p>
            <w:pPr/>
            <w:r>
              <w:rPr/>
              <w:t xml:space="preserve">▪</w:t>
            </w:r>
          </w:p>
        </w:tc>
        <w:tc>
          <w:tcPr>
            <w:noWrap/>
          </w:tcPr>
          <w:p>
            <w:pPr/>
            <w:r>
              <w:rPr/>
              <w:t xml:space="preserve">exempt benefits, such as certain benefits provided by religious institutions to their religious practitioners.</w:t>
            </w:r>
          </w:p>
        </w:tc>
      </w:tr>
    </w:tbl>
    <w:p/>
    <w:p>
      <w:pPr>
        <w:pStyle w:val="Heading2"/>
      </w:pPr>
      <w:r>
        <w:rPr/>
        <w:t xml:space="preserve">Exemptions – expense payment fringe benefits</w:t>
      </w:r>
    </w:p>
    <w:p/>
    <w:p>
      <w:pPr/>
      <w:r>
        <w:rPr/>
        <w:t xml:space="preserve">There are exemptions for certain expense payment benefits. These are examples of payments that are not expense payment fringe benefits: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Taxi travel</w:t>
            </w:r>
          </w:p>
        </w:tc>
      </w:tr>
      <w:tr>
        <w:trPr/>
        <w:tc>
          <w:tcPr>
            <w:tcW w:w="300" w:type="dxa"/>
            <w:tcMar>
              <w:end w:w="180" w:type="dxa"/>
            </w:tcMar>
            <w:vAlign w:val="top"/>
            <w:noWrap/>
          </w:tcPr>
          <w:p>
            <w:pPr/>
            <w:r>
              <w:rPr/>
              <w:t xml:space="preserve">▪</w:t>
            </w:r>
          </w:p>
        </w:tc>
        <w:tc>
          <w:tcPr>
            <w:noWrap/>
          </w:tcPr>
          <w:p>
            <w:pPr/>
            <w:r>
              <w:rPr/>
              <w:t xml:space="preserve">Portable electronic devices</w:t>
            </w:r>
          </w:p>
        </w:tc>
      </w:tr>
      <w:tr>
        <w:trPr/>
        <w:tc>
          <w:tcPr>
            <w:tcW w:w="300" w:type="dxa"/>
            <w:tcMar>
              <w:end w:w="180" w:type="dxa"/>
            </w:tcMar>
            <w:vAlign w:val="top"/>
            <w:noWrap/>
          </w:tcPr>
          <w:p>
            <w:pPr/>
            <w:r>
              <w:rPr/>
              <w:t xml:space="preserve">▪</w:t>
            </w:r>
          </w:p>
        </w:tc>
        <w:tc>
          <w:tcPr>
            <w:noWrap/>
          </w:tcPr>
          <w:p>
            <w:pPr/>
            <w:r>
              <w:rPr/>
              <w:t xml:space="preserve">Computer software</w:t>
            </w:r>
          </w:p>
        </w:tc>
      </w:tr>
      <w:tr>
        <w:trPr/>
        <w:tc>
          <w:tcPr>
            <w:tcW w:w="300" w:type="dxa"/>
            <w:tcMar>
              <w:end w:w="180" w:type="dxa"/>
            </w:tcMar>
            <w:vAlign w:val="top"/>
            <w:noWrap/>
          </w:tcPr>
          <w:p>
            <w:pPr/>
            <w:r>
              <w:rPr/>
              <w:t xml:space="preserve">▪</w:t>
            </w:r>
          </w:p>
        </w:tc>
        <w:tc>
          <w:tcPr>
            <w:noWrap/>
          </w:tcPr>
          <w:p>
            <w:pPr/>
            <w:r>
              <w:rPr/>
              <w:t xml:space="preserve">Protective clothing</w:t>
            </w:r>
          </w:p>
        </w:tc>
      </w:tr>
      <w:tr>
        <w:trPr/>
        <w:tc>
          <w:tcPr>
            <w:tcW w:w="300" w:type="dxa"/>
            <w:tcMar>
              <w:end w:w="180" w:type="dxa"/>
            </w:tcMar>
            <w:vAlign w:val="top"/>
            <w:noWrap/>
          </w:tcPr>
          <w:p>
            <w:pPr/>
            <w:r>
              <w:rPr/>
              <w:t xml:space="preserve">▪</w:t>
            </w:r>
          </w:p>
        </w:tc>
        <w:tc>
          <w:tcPr>
            <w:noWrap/>
          </w:tcPr>
          <w:p>
            <w:pPr/>
            <w:r>
              <w:rPr/>
              <w:t xml:space="preserve">Briefcases</w:t>
            </w:r>
          </w:p>
        </w:tc>
      </w:tr>
      <w:tr>
        <w:trPr/>
        <w:tc>
          <w:tcPr>
            <w:tcW w:w="300" w:type="dxa"/>
            <w:tcMar>
              <w:end w:w="180" w:type="dxa"/>
            </w:tcMar>
            <w:vAlign w:val="top"/>
            <w:noWrap/>
          </w:tcPr>
          <w:p>
            <w:pPr/>
            <w:r>
              <w:rPr/>
              <w:t xml:space="preserve">▪</w:t>
            </w:r>
          </w:p>
        </w:tc>
        <w:tc>
          <w:tcPr>
            <w:noWrap/>
          </w:tcPr>
          <w:p>
            <w:pPr/>
            <w:r>
              <w:rPr/>
              <w:t xml:space="preserve">Tools of trade.</w:t>
            </w:r>
          </w:p>
        </w:tc>
      </w:tr>
    </w:tbl>
    <w:p/>
    <w:p>
      <w:pPr>
        <w:pStyle w:val="Heading2"/>
      </w:pPr>
      <w:r>
        <w:rPr/>
        <w:t xml:space="preserve">Fringe benefits tax obligations</w:t>
      </w:r>
    </w:p>
    <w:p/>
    <w:p>
      <w:pPr/>
      <w:r>
        <w:rPr/>
        <w:t xml:space="preserve">If you provide an expense payment fringe benefit, you need to:</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keep certain records</w:t>
            </w:r>
          </w:p>
        </w:tc>
      </w:tr>
      <w:tr>
        <w:trPr/>
        <w:tc>
          <w:tcPr>
            <w:tcW w:w="300" w:type="dxa"/>
            <w:tcMar>
              <w:end w:w="180" w:type="dxa"/>
            </w:tcMar>
            <w:vAlign w:val="top"/>
            <w:noWrap/>
          </w:tcPr>
          <w:p>
            <w:pPr/>
            <w:r>
              <w:rPr/>
              <w:t xml:space="preserve">▪</w:t>
            </w:r>
          </w:p>
        </w:tc>
        <w:tc>
          <w:tcPr>
            <w:noWrap/>
          </w:tcPr>
          <w:p>
            <w:pPr/>
            <w:r>
              <w:rPr/>
              <w:t xml:space="preserve">be registered for FBT</w:t>
            </w:r>
          </w:p>
        </w:tc>
      </w:tr>
      <w:tr>
        <w:trPr/>
        <w:tc>
          <w:tcPr>
            <w:tcW w:w="300" w:type="dxa"/>
            <w:tcMar>
              <w:end w:w="180" w:type="dxa"/>
            </w:tcMar>
            <w:vAlign w:val="top"/>
            <w:noWrap/>
          </w:tcPr>
          <w:p>
            <w:pPr/>
            <w:r>
              <w:rPr/>
              <w:t xml:space="preserve">▪</w:t>
            </w:r>
          </w:p>
        </w:tc>
        <w:tc>
          <w:tcPr>
            <w:noWrap/>
          </w:tcPr>
          <w:p>
            <w:pPr/>
            <w:r>
              <w:rPr/>
              <w:t xml:space="preserve">lodge an FBT return and </w:t>
            </w:r>
          </w:p>
        </w:tc>
      </w:tr>
      <w:tr>
        <w:trPr/>
        <w:tc>
          <w:tcPr>
            <w:tcW w:w="300" w:type="dxa"/>
            <w:tcMar>
              <w:end w:w="180" w:type="dxa"/>
            </w:tcMar>
            <w:vAlign w:val="top"/>
            <w:noWrap/>
          </w:tcPr>
          <w:p>
            <w:pPr/>
            <w:r>
              <w:rPr/>
              <w:t xml:space="preserve">▪</w:t>
            </w:r>
          </w:p>
        </w:tc>
        <w:tc>
          <w:tcPr>
            <w:noWrap/>
          </w:tcPr>
          <w:p>
            <w:pPr/>
            <w:r>
              <w:rPr/>
              <w:t xml:space="preserve">pay FBT. </w:t>
            </w:r>
          </w:p>
        </w:tc>
      </w:tr>
    </w:tbl>
    <w:p/>
    <w:p>
      <w:pPr>
        <w:pStyle w:val="Heading2"/>
      </w:pPr>
      <w:r>
        <w:rPr/>
        <w:t xml:space="preserve">Reducing your FBT liability</w:t>
      </w:r>
    </w:p>
    <w:p/>
    <w:p>
      <w:pPr/>
      <w:r>
        <w:rPr/>
        <w:t xml:space="preserve">There are four ways to reduce your fringe benefit tax liability. You may reduce it by: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providing a cash bonus</w:t>
            </w:r>
          </w:p>
        </w:tc>
      </w:tr>
      <w:tr>
        <w:trPr/>
        <w:tc>
          <w:tcPr>
            <w:tcW w:w="300" w:type="dxa"/>
            <w:tcMar>
              <w:end w:w="180" w:type="dxa"/>
            </w:tcMar>
            <w:vAlign w:val="top"/>
            <w:noWrap/>
          </w:tcPr>
          <w:p>
            <w:pPr/>
            <w:r>
              <w:rPr/>
              <w:t xml:space="preserve">▪</w:t>
            </w:r>
          </w:p>
        </w:tc>
        <w:tc>
          <w:tcPr>
            <w:noWrap/>
          </w:tcPr>
          <w:p>
            <w:pPr/>
            <w:r>
              <w:rPr/>
              <w:t xml:space="preserve">using employee contributions </w:t>
            </w:r>
          </w:p>
        </w:tc>
      </w:tr>
      <w:tr>
        <w:trPr/>
        <w:tc>
          <w:tcPr>
            <w:tcW w:w="300" w:type="dxa"/>
            <w:tcMar>
              <w:end w:w="180" w:type="dxa"/>
            </w:tcMar>
            <w:vAlign w:val="top"/>
            <w:noWrap/>
          </w:tcPr>
          <w:p>
            <w:pPr/>
            <w:r>
              <w:rPr/>
              <w:t xml:space="preserve">▪</w:t>
            </w:r>
          </w:p>
        </w:tc>
        <w:tc>
          <w:tcPr>
            <w:noWrap/>
          </w:tcPr>
          <w:p>
            <w:pPr/>
            <w:r>
              <w:rPr/>
              <w:t xml:space="preserve">providing benefits that are income tax deductible rule </w:t>
            </w:r>
          </w:p>
        </w:tc>
      </w:tr>
      <w:tr>
        <w:trPr/>
        <w:tc>
          <w:tcPr>
            <w:tcW w:w="300" w:type="dxa"/>
            <w:tcMar>
              <w:end w:w="180" w:type="dxa"/>
            </w:tcMar>
            <w:vAlign w:val="top"/>
            <w:noWrap/>
          </w:tcPr>
          <w:p>
            <w:pPr/>
            <w:r>
              <w:rPr/>
              <w:t xml:space="preserve">▪</w:t>
            </w:r>
          </w:p>
        </w:tc>
        <w:tc>
          <w:tcPr>
            <w:noWrap/>
          </w:tcPr>
          <w:p>
            <w:pPr/>
            <w:r>
              <w:rPr/>
              <w:t xml:space="preserve">providing benefits that are exempt from FBT.</w:t>
            </w:r>
          </w:p>
        </w:tc>
      </w:tr>
    </w:tbl>
    <w:p>
      <w:pPr/>
      <w:r>
        <w:rPr/>
        <w:t xml:space="preserve"> </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B2C7990E"/>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2026-10-24T05:09:25+11:00</dcterms:created>
  <dcterms:modified xsi:type="dcterms:W3CDTF">2026-10-24T05:09:25+11:00</dcterms:modified>
</cp:coreProperties>
</file>

<file path=docProps/custom.xml><?xml version="1.0" encoding="utf-8"?>
<Properties xmlns="http://schemas.openxmlformats.org/officeDocument/2006/custom-properties" xmlns:vt="http://schemas.openxmlformats.org/officeDocument/2006/docPropsVTypes"/>
</file>