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Expense payments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Expense payment fringe benefits</w:t>
      </w:r>
    </w:p>
    <w:p/>
    <w:p>
      <w:pPr/>
      <w:r>
        <w:rPr/>
        <w:t xml:space="preserve">Expense payment fringe benefits may arise when an employee incurs expenses and the employer either: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reimburses them for the expense, or </w:t>
            </w:r>
          </w:p>
        </w:tc>
      </w:tr>
      <w:tr>
        <w:trPr/>
        <w:tc>
          <w:tcPr>
            <w:tcW w:w="300" w:type="dxa"/>
            <w:tcMar>
              <w:end w:w="180" w:type="dxa"/>
            </w:tcMar>
            <w:vAlign w:val="top"/>
            <w:noWrap/>
          </w:tcPr>
          <w:p>
            <w:pPr/>
            <w:r>
              <w:rPr/>
              <w:t xml:space="preserve">▪</w:t>
            </w:r>
          </w:p>
        </w:tc>
        <w:tc>
          <w:tcPr>
            <w:noWrap/>
          </w:tcPr>
          <w:p>
            <w:pPr/>
            <w:r>
              <w:rPr/>
              <w:t xml:space="preserve">directly pays a third-party for the expense.</w:t>
            </w:r>
          </w:p>
        </w:tc>
      </w:tr>
    </w:tbl>
    <w:p>
      <w:pPr/>
      <w:r>
        <w:rPr/>
        <w:t xml:space="preserve">The expense needs to be incurred by the employee and can be a business or private expense, or a combination of both. Expense payment fringe benefits may also arise when expense payment benefits are provided to an associate of the employee. </w:t>
      </w:r>
    </w:p>
    <w:p/>
    <w:p>
      <w:pPr>
        <w:pStyle w:val="Heading2"/>
      </w:pPr>
      <w:r>
        <w:rPr/>
        <w:t xml:space="preserve">Example expense payment fringe benefits</w:t>
      </w:r>
    </w:p>
    <w:p/>
    <w:p>
      <w:pPr/>
      <w:r>
        <w:rPr/>
        <w:t xml:space="preserve">Expense payment fringe benefits may include the payment or reimbursement of: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car expenses (e.g. registration and insurance) </w:t>
            </w:r>
          </w:p>
        </w:tc>
      </w:tr>
      <w:tr>
        <w:trPr/>
        <w:tc>
          <w:tcPr>
            <w:tcW w:w="300" w:type="dxa"/>
            <w:tcMar>
              <w:end w:w="180" w:type="dxa"/>
            </w:tcMar>
            <w:vAlign w:val="top"/>
            <w:noWrap/>
          </w:tcPr>
          <w:p>
            <w:pPr/>
            <w:r>
              <w:rPr/>
              <w:t xml:space="preserve">▪</w:t>
            </w:r>
          </w:p>
        </w:tc>
        <w:tc>
          <w:tcPr>
            <w:noWrap/>
          </w:tcPr>
          <w:p>
            <w:pPr/>
            <w:r>
              <w:rPr/>
              <w:t xml:space="preserve">car parking (if you do not provide the car parking facilities) </w:t>
            </w:r>
          </w:p>
        </w:tc>
      </w:tr>
      <w:tr>
        <w:trPr/>
        <w:tc>
          <w:tcPr>
            <w:tcW w:w="300" w:type="dxa"/>
            <w:tcMar>
              <w:end w:w="180" w:type="dxa"/>
            </w:tcMar>
            <w:vAlign w:val="top"/>
            <w:noWrap/>
          </w:tcPr>
          <w:p>
            <w:pPr/>
            <w:r>
              <w:rPr/>
              <w:t xml:space="preserve">▪</w:t>
            </w:r>
          </w:p>
        </w:tc>
        <w:tc>
          <w:tcPr>
            <w:noWrap/>
          </w:tcPr>
          <w:p>
            <w:pPr/>
            <w:r>
              <w:rPr/>
              <w:t xml:space="preserve">home mortgage </w:t>
            </w:r>
          </w:p>
        </w:tc>
      </w:tr>
      <w:tr>
        <w:trPr/>
        <w:tc>
          <w:tcPr>
            <w:tcW w:w="300" w:type="dxa"/>
            <w:tcMar>
              <w:end w:w="180" w:type="dxa"/>
            </w:tcMar>
            <w:vAlign w:val="top"/>
            <w:noWrap/>
          </w:tcPr>
          <w:p>
            <w:pPr/>
            <w:r>
              <w:rPr/>
              <w:t xml:space="preserve">▪</w:t>
            </w:r>
          </w:p>
        </w:tc>
        <w:tc>
          <w:tcPr>
            <w:noWrap/>
          </w:tcPr>
          <w:p>
            <w:pPr/>
            <w:r>
              <w:rPr/>
              <w:t xml:space="preserve">home/desktop computer, home telephone and internet </w:t>
            </w:r>
          </w:p>
        </w:tc>
      </w:tr>
      <w:tr>
        <w:trPr/>
        <w:tc>
          <w:tcPr>
            <w:tcW w:w="300" w:type="dxa"/>
            <w:tcMar>
              <w:end w:w="180" w:type="dxa"/>
            </w:tcMar>
            <w:vAlign w:val="top"/>
            <w:noWrap/>
          </w:tcPr>
          <w:p>
            <w:pPr/>
            <w:r>
              <w:rPr/>
              <w:t xml:space="preserve">▪</w:t>
            </w:r>
          </w:p>
        </w:tc>
        <w:tc>
          <w:tcPr>
            <w:noWrap/>
          </w:tcPr>
          <w:p>
            <w:pPr/>
            <w:r>
              <w:rPr/>
              <w:t xml:space="preserve">employee personal credit card payments </w:t>
            </w:r>
          </w:p>
        </w:tc>
      </w:tr>
      <w:tr>
        <w:trPr/>
        <w:tc>
          <w:tcPr>
            <w:tcW w:w="300" w:type="dxa"/>
            <w:tcMar>
              <w:end w:w="180" w:type="dxa"/>
            </w:tcMar>
            <w:vAlign w:val="top"/>
            <w:noWrap/>
          </w:tcPr>
          <w:p>
            <w:pPr/>
            <w:r>
              <w:rPr/>
              <w:t xml:space="preserve">▪</w:t>
            </w:r>
          </w:p>
        </w:tc>
        <w:tc>
          <w:tcPr>
            <w:noWrap/>
          </w:tcPr>
          <w:p>
            <w:pPr/>
            <w:r>
              <w:rPr/>
              <w:t xml:space="preserve">health insurance premiums </w:t>
            </w:r>
          </w:p>
        </w:tc>
      </w:tr>
      <w:tr>
        <w:trPr/>
        <w:tc>
          <w:tcPr>
            <w:tcW w:w="300" w:type="dxa"/>
            <w:tcMar>
              <w:end w:w="180" w:type="dxa"/>
            </w:tcMar>
            <w:vAlign w:val="top"/>
            <w:noWrap/>
          </w:tcPr>
          <w:p>
            <w:pPr/>
            <w:r>
              <w:rPr/>
              <w:t xml:space="preserve">▪</w:t>
            </w:r>
          </w:p>
        </w:tc>
        <w:tc>
          <w:tcPr>
            <w:noWrap/>
          </w:tcPr>
          <w:p>
            <w:pPr/>
            <w:r>
              <w:rPr/>
              <w:t xml:space="preserve">self-education expenses.</w:t>
            </w:r>
          </w:p>
        </w:tc>
      </w:tr>
    </w:tbl>
    <w:p/>
    <w:p>
      <w:pPr>
        <w:pStyle w:val="Heading2"/>
      </w:pPr>
      <w:r>
        <w:rPr/>
        <w:t xml:space="preserve">What are not fringe benefits</w:t>
      </w:r>
    </w:p>
    <w:p/>
    <w:p>
      <w:pPr/>
      <w:r>
        <w:rPr/>
        <w:t xml:space="preserve">The following are not fringe benefits: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salaries and wages </w:t>
            </w:r>
          </w:p>
        </w:tc>
      </w:tr>
      <w:tr>
        <w:trPr/>
        <w:tc>
          <w:tcPr>
            <w:tcW w:w="300" w:type="dxa"/>
            <w:tcMar>
              <w:end w:w="180" w:type="dxa"/>
            </w:tcMar>
            <w:vAlign w:val="top"/>
            <w:noWrap/>
          </w:tcPr>
          <w:p>
            <w:pPr/>
            <w:r>
              <w:rPr/>
              <w:t xml:space="preserve">▪</w:t>
            </w:r>
          </w:p>
        </w:tc>
        <w:tc>
          <w:tcPr>
            <w:noWrap/>
          </w:tcPr>
          <w:p>
            <w:pPr/>
            <w:r>
              <w:rPr/>
              <w:t xml:space="preserve">employer contributions to superannuation funds </w:t>
            </w:r>
          </w:p>
        </w:tc>
      </w:tr>
      <w:tr>
        <w:trPr/>
        <w:tc>
          <w:tcPr>
            <w:tcW w:w="300" w:type="dxa"/>
            <w:tcMar>
              <w:end w:w="180" w:type="dxa"/>
            </w:tcMar>
            <w:vAlign w:val="top"/>
            <w:noWrap/>
          </w:tcPr>
          <w:p>
            <w:pPr/>
            <w:r>
              <w:rPr/>
              <w:t xml:space="preserve">▪</w:t>
            </w:r>
          </w:p>
        </w:tc>
        <w:tc>
          <w:tcPr>
            <w:noWrap/>
          </w:tcPr>
          <w:p>
            <w:pPr/>
            <w:r>
              <w:rPr/>
              <w:t xml:space="preserve">employer termination payments </w:t>
            </w:r>
          </w:p>
        </w:tc>
      </w:tr>
      <w:tr>
        <w:trPr/>
        <w:tc>
          <w:tcPr>
            <w:tcW w:w="300" w:type="dxa"/>
            <w:tcMar>
              <w:end w:w="180" w:type="dxa"/>
            </w:tcMar>
            <w:vAlign w:val="top"/>
            <w:noWrap/>
          </w:tcPr>
          <w:p>
            <w:pPr/>
            <w:r>
              <w:rPr/>
              <w:t xml:space="preserve">▪</w:t>
            </w:r>
          </w:p>
        </w:tc>
        <w:tc>
          <w:tcPr>
            <w:noWrap/>
          </w:tcPr>
          <w:p>
            <w:pPr/>
            <w:r>
              <w:rPr/>
              <w:t xml:space="preserve">shares purchased under approved employee share acquisition schemes </w:t>
            </w:r>
          </w:p>
        </w:tc>
      </w:tr>
      <w:tr>
        <w:trPr/>
        <w:tc>
          <w:tcPr>
            <w:tcW w:w="300" w:type="dxa"/>
            <w:tcMar>
              <w:end w:w="180" w:type="dxa"/>
            </w:tcMar>
            <w:vAlign w:val="top"/>
            <w:noWrap/>
          </w:tcPr>
          <w:p>
            <w:pPr/>
            <w:r>
              <w:rPr/>
              <w:t xml:space="preserve">▪</w:t>
            </w:r>
          </w:p>
        </w:tc>
        <w:tc>
          <w:tcPr>
            <w:noWrap/>
          </w:tcPr>
          <w:p>
            <w:pPr/>
            <w:r>
              <w:rPr/>
              <w:t xml:space="preserve">payments of dividend amounts </w:t>
            </w:r>
          </w:p>
        </w:tc>
      </w:tr>
      <w:tr>
        <w:trPr/>
        <w:tc>
          <w:tcPr>
            <w:tcW w:w="300" w:type="dxa"/>
            <w:tcMar>
              <w:end w:w="180" w:type="dxa"/>
            </w:tcMar>
            <w:vAlign w:val="top"/>
            <w:noWrap/>
          </w:tcPr>
          <w:p>
            <w:pPr/>
            <w:r>
              <w:rPr/>
              <w:t xml:space="preserve">▪</w:t>
            </w:r>
          </w:p>
        </w:tc>
        <w:tc>
          <w:tcPr>
            <w:noWrap/>
          </w:tcPr>
          <w:p>
            <w:pPr/>
            <w:r>
              <w:rPr/>
              <w:t xml:space="preserve">benefits provided to volunteers and contractors </w:t>
            </w:r>
          </w:p>
        </w:tc>
      </w:tr>
      <w:tr>
        <w:trPr/>
        <w:tc>
          <w:tcPr>
            <w:tcW w:w="300" w:type="dxa"/>
            <w:tcMar>
              <w:end w:w="180" w:type="dxa"/>
            </w:tcMar>
            <w:vAlign w:val="top"/>
            <w:noWrap/>
          </w:tcPr>
          <w:p>
            <w:pPr/>
            <w:r>
              <w:rPr/>
              <w:t xml:space="preserve">▪</w:t>
            </w:r>
          </w:p>
        </w:tc>
        <w:tc>
          <w:tcPr>
            <w:noWrap/>
          </w:tcPr>
          <w:p>
            <w:pPr/>
            <w:r>
              <w:rPr/>
              <w:t xml:space="preserve">cash bonuses </w:t>
            </w:r>
          </w:p>
        </w:tc>
      </w:tr>
      <w:tr>
        <w:trPr/>
        <w:tc>
          <w:tcPr>
            <w:tcW w:w="300" w:type="dxa"/>
            <w:tcMar>
              <w:end w:w="180" w:type="dxa"/>
            </w:tcMar>
            <w:vAlign w:val="top"/>
            <w:noWrap/>
          </w:tcPr>
          <w:p>
            <w:pPr/>
            <w:r>
              <w:rPr/>
              <w:t xml:space="preserve">▪</w:t>
            </w:r>
          </w:p>
        </w:tc>
        <w:tc>
          <w:tcPr>
            <w:noWrap/>
          </w:tcPr>
          <w:p>
            <w:pPr/>
            <w:r>
              <w:rPr/>
              <w:t xml:space="preserve">exempt benefits, such as certain benefits provided by religious institutions to their religious practitioners.</w:t>
            </w:r>
          </w:p>
        </w:tc>
      </w:tr>
    </w:tbl>
    <w:p/>
    <w:p>
      <w:pPr>
        <w:pStyle w:val="Heading2"/>
      </w:pPr>
      <w:r>
        <w:rPr/>
        <w:t xml:space="preserve">Exemptions – expense payment fringe benefits</w:t>
      </w:r>
    </w:p>
    <w:p/>
    <w:p>
      <w:pPr/>
      <w:r>
        <w:rPr/>
        <w:t xml:space="preserve">There are exemptions for certain expense payment benefits. These are examples of payments that are not expense payment fringe benefits: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Taxi travel</w:t>
            </w:r>
          </w:p>
        </w:tc>
      </w:tr>
      <w:tr>
        <w:trPr/>
        <w:tc>
          <w:tcPr>
            <w:tcW w:w="300" w:type="dxa"/>
            <w:tcMar>
              <w:end w:w="180" w:type="dxa"/>
            </w:tcMar>
            <w:vAlign w:val="top"/>
            <w:noWrap/>
          </w:tcPr>
          <w:p>
            <w:pPr/>
            <w:r>
              <w:rPr/>
              <w:t xml:space="preserve">▪</w:t>
            </w:r>
          </w:p>
        </w:tc>
        <w:tc>
          <w:tcPr>
            <w:noWrap/>
          </w:tcPr>
          <w:p>
            <w:pPr/>
            <w:r>
              <w:rPr/>
              <w:t xml:space="preserve">Portable electronic devices</w:t>
            </w:r>
          </w:p>
        </w:tc>
      </w:tr>
      <w:tr>
        <w:trPr/>
        <w:tc>
          <w:tcPr>
            <w:tcW w:w="300" w:type="dxa"/>
            <w:tcMar>
              <w:end w:w="180" w:type="dxa"/>
            </w:tcMar>
            <w:vAlign w:val="top"/>
            <w:noWrap/>
          </w:tcPr>
          <w:p>
            <w:pPr/>
            <w:r>
              <w:rPr/>
              <w:t xml:space="preserve">▪</w:t>
            </w:r>
          </w:p>
        </w:tc>
        <w:tc>
          <w:tcPr>
            <w:noWrap/>
          </w:tcPr>
          <w:p>
            <w:pPr/>
            <w:r>
              <w:rPr/>
              <w:t xml:space="preserve">Computer software</w:t>
            </w:r>
          </w:p>
        </w:tc>
      </w:tr>
      <w:tr>
        <w:trPr/>
        <w:tc>
          <w:tcPr>
            <w:tcW w:w="300" w:type="dxa"/>
            <w:tcMar>
              <w:end w:w="180" w:type="dxa"/>
            </w:tcMar>
            <w:vAlign w:val="top"/>
            <w:noWrap/>
          </w:tcPr>
          <w:p>
            <w:pPr/>
            <w:r>
              <w:rPr/>
              <w:t xml:space="preserve">▪</w:t>
            </w:r>
          </w:p>
        </w:tc>
        <w:tc>
          <w:tcPr>
            <w:noWrap/>
          </w:tcPr>
          <w:p>
            <w:pPr/>
            <w:r>
              <w:rPr/>
              <w:t xml:space="preserve">Protective clothing</w:t>
            </w:r>
          </w:p>
        </w:tc>
      </w:tr>
      <w:tr>
        <w:trPr/>
        <w:tc>
          <w:tcPr>
            <w:tcW w:w="300" w:type="dxa"/>
            <w:tcMar>
              <w:end w:w="180" w:type="dxa"/>
            </w:tcMar>
            <w:vAlign w:val="top"/>
            <w:noWrap/>
          </w:tcPr>
          <w:p>
            <w:pPr/>
            <w:r>
              <w:rPr/>
              <w:t xml:space="preserve">▪</w:t>
            </w:r>
          </w:p>
        </w:tc>
        <w:tc>
          <w:tcPr>
            <w:noWrap/>
          </w:tcPr>
          <w:p>
            <w:pPr/>
            <w:r>
              <w:rPr/>
              <w:t xml:space="preserve">Briefcases</w:t>
            </w:r>
          </w:p>
        </w:tc>
      </w:tr>
      <w:tr>
        <w:trPr/>
        <w:tc>
          <w:tcPr>
            <w:tcW w:w="300" w:type="dxa"/>
            <w:tcMar>
              <w:end w:w="180" w:type="dxa"/>
            </w:tcMar>
            <w:vAlign w:val="top"/>
            <w:noWrap/>
          </w:tcPr>
          <w:p>
            <w:pPr/>
            <w:r>
              <w:rPr/>
              <w:t xml:space="preserve">▪</w:t>
            </w:r>
          </w:p>
        </w:tc>
        <w:tc>
          <w:tcPr>
            <w:noWrap/>
          </w:tcPr>
          <w:p>
            <w:pPr/>
            <w:r>
              <w:rPr/>
              <w:t xml:space="preserve">Tools of trade.</w:t>
            </w:r>
          </w:p>
        </w:tc>
      </w:tr>
    </w:tbl>
    <w:p/>
    <w:p>
      <w:pPr>
        <w:pStyle w:val="Heading2"/>
      </w:pPr>
      <w:r>
        <w:rPr/>
        <w:t xml:space="preserve">Fringe benefits tax obligations</w:t>
      </w:r>
    </w:p>
    <w:p/>
    <w:p>
      <w:pPr/>
      <w:r>
        <w:rPr/>
        <w:t xml:space="preserve">If you provide an expense payment fringe benefit, you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You may reduce it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67E747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2026-08-04T19:32:38+10:00</dcterms:created>
  <dcterms:modified xsi:type="dcterms:W3CDTF">2026-08-04T19:32:38+10:00</dcterms:modified>
</cp:coreProperties>
</file>

<file path=docProps/custom.xml><?xml version="1.0" encoding="utf-8"?>
<Properties xmlns="http://schemas.openxmlformats.org/officeDocument/2006/custom-properties" xmlns:vt="http://schemas.openxmlformats.org/officeDocument/2006/docPropsVTypes"/>
</file>