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Recording business income and expenses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Importance of keeping accurate records</w:t>
      </w:r>
    </w:p>
    <w:p/>
    <w:p>
      <w:pPr/>
      <w:r>
        <w:rPr/>
        <w:t xml:space="preserve">Recording business income and expenses correctly allows you to make quick, accurate and informed business decisions.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Set up your record-keeping system to record income and expenses specific to your business.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Accounts are usually grouped by type, with subcategories appropriate to your business.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Monthly summaries of your cash books can be useful tools for making decisions and managing your business.</w:t>
            </w:r>
          </w:p>
        </w:tc>
      </w:tr>
    </w:tbl>
    <w:p/>
    <w:p>
      <w:pPr>
        <w:pStyle w:val="Heading2"/>
      </w:pPr>
      <w:r>
        <w:rPr/>
        <w:t xml:space="preserve">Types of income</w:t>
      </w:r>
    </w:p>
    <w:p/>
    <w:p>
      <w:pPr/>
      <w:r>
        <w:rPr/>
        <w:t xml:space="preserve">Everyday income is income from your everyday business activities. It’s received regularly and it’s recorded regularly. It may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from all sales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specific streams of income (e.g. renting out business equipment)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from the shared economy and other marketplaces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ride-sourcing income and income earned as a self-employed taxi driver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earned as an online content creator.</w:t>
            </w:r>
          </w:p>
        </w:tc>
      </w:tr>
    </w:tbl>
    <w:p>
      <w:pPr/>
      <w:r>
        <w:rPr/>
        <w:t xml:space="preserve">Other income is not part of your everyday business activities. It may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goods taken from stock for your own use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value of livestock killed for rations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value of livestock exchanged for other goods or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amounts received as recoupment of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bad debts recovered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profit on sale of depreciating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royalties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insurance recoveries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subsidies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employee contributions for fringe benefits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assessable non-government assistance from all sources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foreign exchange (forex) gains.</w:t>
            </w:r>
          </w:p>
        </w:tc>
      </w:tr>
    </w:tbl>
    <w:p/>
    <w:p>
      <w:pPr>
        <w:pStyle w:val="Heading2"/>
      </w:pPr>
      <w:r>
        <w:rPr/>
        <w:t xml:space="preserve">Types of expenses</w:t>
      </w:r>
    </w:p>
    <w:p/>
    <w:p>
      <w:pPr/>
      <w:r>
        <w:rPr/>
        <w:t xml:space="preserve">You can claim a tax deduction for most business expenses, as long as they are directly related to earning your assessable income. You may be able to claim tax deductions for: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cost of sales (of trading stock)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motor vehicles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repairs and maintenance of machinery, tools or premises.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cost of being a tenant to rent land, real estate and buildings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other expenses like workers’ salaries/wages, office supplies and advertising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costs from financial leases and operating leases for assets like motor vehicles and plant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interest paid on borrowed money to acquire income-producing assets used in your business, finance business operations or meet current business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salaries and wages you pay to employees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super contributions you make on time to a super fund or retirement savings account for your employees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expenses.</w:t>
            </w:r>
          </w:p>
        </w:tc>
      </w:tr>
    </w:tbl>
    <w:p/>
    <w:p>
      <w:pPr>
        <w:pStyle w:val="Heading2"/>
      </w:pPr>
      <w:r>
        <w:rPr/>
        <w:t xml:space="preserve">Categorising accurately</w:t>
      </w:r>
    </w:p>
    <w:p/>
    <w:p>
      <w:pPr/>
      <w:r>
        <w:rPr/>
        <w:t xml:space="preserve">The ATO small business benchmarks can be used to compare your business against similar businesses in the same industry.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Pay attention if one of your benchmarks is a lot higher or lower than the industry benchmark. This may indicate that you are not correctly categorising part of your income and/or expenses.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need to revise your bookkeeping to make sure you’ve categorised everything correctly.</w:t>
            </w:r>
          </w:p>
        </w:tc>
      </w:tr>
    </w:tbl>
    <w:p/>
    <w:p>
      <w:pPr>
        <w:pStyle w:val="Heading2"/>
      </w:pPr>
      <w:r>
        <w:rPr/>
        <w:t xml:space="preserve">Reporting accurately</w:t>
      </w:r>
    </w:p>
    <w:p/>
    <w:p>
      <w:pPr/>
      <w:r>
        <w:rPr/>
        <w:t xml:space="preserve">It is important to categorise and submit your income and expenses under specific labels in the tax return.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correct label in the tax return to avoid processing delays or auditing actions.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figures that were recorded in your chart of accounts or spreadsheet, and input these into the corresponding labels of the tax return.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98A55BDD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2026-10-22T05:29:19+11:00</dcterms:created>
  <dcterms:modified xsi:type="dcterms:W3CDTF">2026-10-22T05:29:19+11:00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